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0D60" w14:textId="5E945499" w:rsidR="008C09F9" w:rsidRDefault="00590878" w:rsidP="00E8667E">
      <w:pPr>
        <w:pStyle w:val="Heading1"/>
        <w:rPr>
          <w:rFonts w:hint="eastAsia"/>
        </w:rPr>
      </w:pPr>
      <w:r>
        <w:rPr>
          <w:i/>
          <w:iCs/>
        </w:rPr>
        <w:t xml:space="preserve">AI Essentials:  </w:t>
      </w:r>
      <w:r w:rsidR="00E8667E">
        <w:t>Faculty Quick Start Guide</w:t>
      </w:r>
    </w:p>
    <w:p w14:paraId="7C3D35B0" w14:textId="77777777" w:rsidR="00965A73" w:rsidRPr="00965A73" w:rsidRDefault="00965A73" w:rsidP="00965A73">
      <w:r w:rsidRPr="00965A73">
        <w:rPr>
          <w:i/>
          <w:iCs/>
        </w:rPr>
        <w:t>Everything you need to know. Nothing you don't.</w:t>
      </w:r>
    </w:p>
    <w:p w14:paraId="16B8E073" w14:textId="77777777" w:rsidR="00965A73" w:rsidRPr="00965A73" w:rsidRDefault="00965A73" w:rsidP="00E16A3A">
      <w:pPr>
        <w:pStyle w:val="Heading2"/>
        <w:rPr>
          <w:rFonts w:hint="eastAsia"/>
        </w:rPr>
      </w:pPr>
      <w:r w:rsidRPr="05C1800B">
        <w:t>Why This Matters</w:t>
      </w:r>
    </w:p>
    <w:p w14:paraId="4D87467C" w14:textId="06C71412" w:rsidR="00965A73" w:rsidRPr="00965A73" w:rsidRDefault="00965A73" w:rsidP="00965A73">
      <w:r w:rsidRPr="00965A73">
        <w:t>Penn State is committed to ensuring every student</w:t>
      </w:r>
      <w:r w:rsidR="6C330B6D">
        <w:t>,</w:t>
      </w:r>
      <w:r w:rsidRPr="00965A73">
        <w:t xml:space="preserve"> especially first-year students</w:t>
      </w:r>
      <w:r w:rsidR="04087CA8">
        <w:t>,</w:t>
      </w:r>
      <w:r w:rsidRPr="00965A73">
        <w:t xml:space="preserve"> </w:t>
      </w:r>
      <w:r w:rsidR="00612AB5">
        <w:t>begins</w:t>
      </w:r>
      <w:r w:rsidRPr="00965A73">
        <w:t xml:space="preserve"> their academic career with foundational AI literacy. The Provost has identified </w:t>
      </w:r>
      <w:r w:rsidR="006924A0" w:rsidRPr="006924A0">
        <w:rPr>
          <w:i/>
          <w:iCs/>
        </w:rPr>
        <w:t>AI Essentials</w:t>
      </w:r>
      <w:r w:rsidRPr="00965A73">
        <w:t xml:space="preserve"> as a key part of that commitment, providing students with the knowledge to understand and work effectively </w:t>
      </w:r>
      <w:r w:rsidR="00C140D1">
        <w:t xml:space="preserve">and ethically </w:t>
      </w:r>
      <w:r w:rsidRPr="00965A73">
        <w:t>with AI tools in academic, professional, and everyday contexts.</w:t>
      </w:r>
    </w:p>
    <w:p w14:paraId="1AE55EB4" w14:textId="33BB7B6C" w:rsidR="005C03B4" w:rsidRDefault="00965A73" w:rsidP="00965A73">
      <w:r w:rsidRPr="05C1800B">
        <w:rPr>
          <w:b/>
          <w:bCs/>
        </w:rPr>
        <w:t>Your role is simple: help students know it exists and encourage them to complete it.</w:t>
      </w:r>
    </w:p>
    <w:p w14:paraId="6C6EE825" w14:textId="77777777" w:rsidR="00965A73" w:rsidRPr="00965A73" w:rsidRDefault="00965A73" w:rsidP="00E16A3A">
      <w:pPr>
        <w:pStyle w:val="Heading2"/>
        <w:rPr>
          <w:rFonts w:hint="eastAsia"/>
        </w:rPr>
      </w:pPr>
      <w:r w:rsidRPr="00965A73">
        <w:t xml:space="preserve">What Is </w:t>
      </w:r>
      <w:r w:rsidR="006924A0" w:rsidRPr="006924A0">
        <w:t>AI Essentials</w:t>
      </w:r>
      <w:r w:rsidRPr="00965A73">
        <w:t>?</w:t>
      </w:r>
    </w:p>
    <w:p w14:paraId="75CCBB97" w14:textId="57AAC8F6" w:rsidR="00965A73" w:rsidRPr="00965A73" w:rsidRDefault="006924A0" w:rsidP="00965A73">
      <w:r w:rsidRPr="006924A0">
        <w:rPr>
          <w:i/>
          <w:iCs/>
        </w:rPr>
        <w:t>AI Essentials</w:t>
      </w:r>
      <w:r w:rsidR="00965A73" w:rsidRPr="00965A73">
        <w:t xml:space="preserve"> is a free, self-paced program that gives students foundational knowledge about artificial intelligence</w:t>
      </w:r>
      <w:r w:rsidR="6202A6A3">
        <w:t>:</w:t>
      </w:r>
      <w:r w:rsidR="00965A73" w:rsidRPr="00965A73">
        <w:t xml:space="preserve"> how it works, how it's being used, and how to engage with it responsibly.</w:t>
      </w:r>
      <w:r w:rsidR="7A0687E9">
        <w:t xml:space="preserve"> </w:t>
      </w:r>
      <w:r w:rsidRPr="006924A0">
        <w:rPr>
          <w:i/>
          <w:iCs/>
        </w:rPr>
        <w:t>AI Essentials</w:t>
      </w:r>
      <w:r w:rsidR="7A0687E9">
        <w:t xml:space="preserve"> is:</w:t>
      </w:r>
    </w:p>
    <w:p w14:paraId="4A457C47" w14:textId="26F63CFC" w:rsidR="00965A73" w:rsidRPr="00965A73" w:rsidRDefault="00965A73" w:rsidP="18F14344">
      <w:pPr>
        <w:ind w:left="360"/>
        <w:contextualSpacing/>
      </w:pPr>
      <w:r w:rsidRPr="00965A73">
        <w:rPr>
          <w:rFonts w:ascii="Segoe UI Emoji" w:hAnsi="Segoe UI Emoji" w:cs="Segoe UI Emoji"/>
        </w:rPr>
        <w:t>✅</w:t>
      </w:r>
      <w:r w:rsidRPr="00965A73">
        <w:t xml:space="preserve"> Available to all </w:t>
      </w:r>
      <w:r w:rsidR="00EE35E4">
        <w:t xml:space="preserve">degree seeking </w:t>
      </w:r>
      <w:r w:rsidRPr="00965A73">
        <w:t>Penn State students</w:t>
      </w:r>
    </w:p>
    <w:p w14:paraId="0F646864" w14:textId="57C745BD" w:rsidR="00965A73" w:rsidRPr="00965A73" w:rsidRDefault="00965A73" w:rsidP="18F14344">
      <w:pPr>
        <w:ind w:left="360"/>
        <w:contextualSpacing/>
      </w:pPr>
      <w:r w:rsidRPr="00965A73">
        <w:rPr>
          <w:rFonts w:ascii="Segoe UI Emoji" w:hAnsi="Segoe UI Emoji" w:cs="Segoe UI Emoji"/>
        </w:rPr>
        <w:t>✅</w:t>
      </w:r>
      <w:r w:rsidRPr="00965A73">
        <w:t xml:space="preserve"> Self-paced and low time commitment</w:t>
      </w:r>
      <w:r w:rsidR="62BAE51E">
        <w:t xml:space="preserve"> with no</w:t>
      </w:r>
      <w:r w:rsidRPr="00965A73">
        <w:t xml:space="preserve"> prior AI knowledge required</w:t>
      </w:r>
    </w:p>
    <w:p w14:paraId="1A057842" w14:textId="53ED440F" w:rsidR="00965A73" w:rsidRPr="00965A73" w:rsidRDefault="00965A73" w:rsidP="18F14344">
      <w:pPr>
        <w:ind w:left="360"/>
        <w:contextualSpacing/>
      </w:pPr>
      <w:r w:rsidRPr="00965A73">
        <w:rPr>
          <w:rFonts w:ascii="Segoe UI Emoji" w:hAnsi="Segoe UI Emoji" w:cs="Segoe UI Emoji"/>
        </w:rPr>
        <w:t>✅</w:t>
      </w:r>
      <w:r w:rsidRPr="00965A73">
        <w:t xml:space="preserve"> Designed to complement any course, in any discipline</w:t>
      </w:r>
    </w:p>
    <w:p w14:paraId="4BEB2EF6" w14:textId="77777777" w:rsidR="00965A73" w:rsidRPr="00965A73" w:rsidRDefault="00965A73" w:rsidP="00E16A3A">
      <w:pPr>
        <w:pStyle w:val="Heading2"/>
        <w:rPr>
          <w:rFonts w:hint="eastAsia"/>
        </w:rPr>
      </w:pPr>
      <w:r w:rsidRPr="4E739CE8">
        <w:t>Where to Find It</w:t>
      </w:r>
    </w:p>
    <w:tbl>
      <w:tblPr>
        <w:tblStyle w:val="TableGrid"/>
        <w:tblW w:w="107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8894"/>
      </w:tblGrid>
      <w:tr w:rsidR="00965A73" w:rsidRPr="00965A73" w14:paraId="66D0B827" w14:textId="77777777" w:rsidTr="00E16A3A">
        <w:trPr>
          <w:tblHeader/>
          <w:tblCellSpacing w:w="15" w:type="dxa"/>
        </w:trPr>
        <w:tc>
          <w:tcPr>
            <w:tcW w:w="1856" w:type="dxa"/>
            <w:vAlign w:val="center"/>
            <w:hideMark/>
          </w:tcPr>
          <w:p w14:paraId="187563D8" w14:textId="1C5FBE66" w:rsidR="00965A73" w:rsidRPr="00965A73" w:rsidRDefault="507263C9" w:rsidP="00965A73">
            <w:pPr>
              <w:rPr>
                <w:b/>
                <w:bCs/>
              </w:rPr>
            </w:pPr>
            <w:r w:rsidRPr="234AEADC">
              <w:rPr>
                <w:b/>
                <w:bCs/>
              </w:rPr>
              <w:t>Wh</w:t>
            </w:r>
            <w:r w:rsidR="4F99D81D" w:rsidRPr="234AEADC">
              <w:rPr>
                <w:b/>
                <w:bCs/>
              </w:rPr>
              <w:t>at</w:t>
            </w:r>
          </w:p>
        </w:tc>
        <w:tc>
          <w:tcPr>
            <w:tcW w:w="8849" w:type="dxa"/>
            <w:vAlign w:val="center"/>
            <w:hideMark/>
          </w:tcPr>
          <w:p w14:paraId="6A840C17" w14:textId="77777777" w:rsidR="00965A73" w:rsidRPr="00965A73" w:rsidRDefault="00965A73" w:rsidP="00965A73">
            <w:pPr>
              <w:rPr>
                <w:b/>
                <w:bCs/>
              </w:rPr>
            </w:pPr>
            <w:r w:rsidRPr="00965A73">
              <w:rPr>
                <w:b/>
                <w:bCs/>
              </w:rPr>
              <w:t>Where</w:t>
            </w:r>
          </w:p>
        </w:tc>
      </w:tr>
      <w:tr w:rsidR="00965A73" w:rsidRPr="00965A73" w14:paraId="135C4FEB" w14:textId="77777777" w:rsidTr="00E16A3A">
        <w:trPr>
          <w:tblCellSpacing w:w="15" w:type="dxa"/>
        </w:trPr>
        <w:tc>
          <w:tcPr>
            <w:tcW w:w="1856" w:type="dxa"/>
            <w:vAlign w:val="center"/>
            <w:hideMark/>
          </w:tcPr>
          <w:p w14:paraId="70359C49" w14:textId="51C4B292" w:rsidR="00965A73" w:rsidRPr="00965A73" w:rsidRDefault="507263C9" w:rsidP="00965A73">
            <w:r w:rsidRPr="234AEADC">
              <w:rPr>
                <w:b/>
                <w:bCs/>
              </w:rPr>
              <w:t>Faculty</w:t>
            </w:r>
            <w:r w:rsidR="3C34D048" w:rsidRPr="234AEADC">
              <w:rPr>
                <w:b/>
                <w:bCs/>
              </w:rPr>
              <w:t>/Staff</w:t>
            </w:r>
            <w:r w:rsidR="7C3EF0B7" w:rsidRPr="234AEADC">
              <w:rPr>
                <w:b/>
                <w:bCs/>
              </w:rPr>
              <w:t xml:space="preserve"> access</w:t>
            </w:r>
          </w:p>
        </w:tc>
        <w:tc>
          <w:tcPr>
            <w:tcW w:w="8849" w:type="dxa"/>
            <w:vAlign w:val="center"/>
            <w:hideMark/>
          </w:tcPr>
          <w:p w14:paraId="53B9A0D8" w14:textId="2989B08A" w:rsidR="00965A73" w:rsidRPr="00965A73" w:rsidRDefault="00F618A1" w:rsidP="00965A73">
            <w:r>
              <w:t>Learning Resource Network</w:t>
            </w:r>
          </w:p>
        </w:tc>
      </w:tr>
      <w:tr w:rsidR="00965A73" w:rsidRPr="00965A73" w14:paraId="67B2966E" w14:textId="77777777" w:rsidTr="00E16A3A">
        <w:trPr>
          <w:tblCellSpacing w:w="15" w:type="dxa"/>
        </w:trPr>
        <w:tc>
          <w:tcPr>
            <w:tcW w:w="1856" w:type="dxa"/>
            <w:vAlign w:val="center"/>
            <w:hideMark/>
          </w:tcPr>
          <w:p w14:paraId="5772AEDB" w14:textId="16446748" w:rsidR="00965A73" w:rsidRPr="00965A73" w:rsidRDefault="507263C9" w:rsidP="00965A73">
            <w:r w:rsidRPr="234AEADC">
              <w:rPr>
                <w:b/>
                <w:bCs/>
              </w:rPr>
              <w:t>Student</w:t>
            </w:r>
            <w:r w:rsidR="0E676D48" w:rsidRPr="234AEADC">
              <w:rPr>
                <w:b/>
                <w:bCs/>
              </w:rPr>
              <w:t xml:space="preserve"> access</w:t>
            </w:r>
          </w:p>
        </w:tc>
        <w:tc>
          <w:tcPr>
            <w:tcW w:w="8849" w:type="dxa"/>
            <w:vAlign w:val="center"/>
            <w:hideMark/>
          </w:tcPr>
          <w:p w14:paraId="72F56E9C" w14:textId="11E271D4" w:rsidR="00965A73" w:rsidRPr="00965A73" w:rsidRDefault="507263C9" w:rsidP="00965A73">
            <w:r>
              <w:t>Canvas</w:t>
            </w:r>
            <w:r w:rsidR="669C672B">
              <w:t xml:space="preserve"> (</w:t>
            </w:r>
            <w:r w:rsidR="54551AD1" w:rsidRPr="6CBF075F">
              <w:rPr>
                <w:rFonts w:ascii="Aptos" w:eastAsia="Aptos" w:hAnsi="Aptos" w:cs="Aptos"/>
              </w:rPr>
              <w:t>All first</w:t>
            </w:r>
            <w:r w:rsidR="54551AD1" w:rsidRPr="0D25E010">
              <w:rPr>
                <w:rFonts w:ascii="Aptos" w:eastAsia="Aptos" w:hAnsi="Aptos" w:cs="Aptos"/>
              </w:rPr>
              <w:t>-</w:t>
            </w:r>
            <w:r w:rsidR="54551AD1" w:rsidRPr="6CBF075F">
              <w:rPr>
                <w:rFonts w:ascii="Aptos" w:eastAsia="Aptos" w:hAnsi="Aptos" w:cs="Aptos"/>
              </w:rPr>
              <w:t>year students, beginning in Summer Session II will be auto enrolled</w:t>
            </w:r>
            <w:r w:rsidR="54551AD1" w:rsidRPr="023A52A8">
              <w:rPr>
                <w:rFonts w:ascii="Aptos" w:eastAsia="Aptos" w:hAnsi="Aptos" w:cs="Aptos"/>
              </w:rPr>
              <w:t>.</w:t>
            </w:r>
            <w:r w:rsidR="669C672B">
              <w:t>)</w:t>
            </w:r>
          </w:p>
          <w:p w14:paraId="65AAE225" w14:textId="64CE32D5" w:rsidR="00965A73" w:rsidRPr="00965A73" w:rsidRDefault="507263C9" w:rsidP="00965A73">
            <w:r w:rsidRPr="234AEADC">
              <w:rPr>
                <w:i/>
                <w:iCs/>
              </w:rPr>
              <w:t>(</w:t>
            </w:r>
            <w:r w:rsidR="1C39B30C" w:rsidRPr="328A43E9">
              <w:rPr>
                <w:i/>
                <w:iCs/>
              </w:rPr>
              <w:t>M</w:t>
            </w:r>
            <w:r w:rsidR="0EB411D4" w:rsidRPr="328A43E9">
              <w:rPr>
                <w:i/>
                <w:iCs/>
              </w:rPr>
              <w:t>ore</w:t>
            </w:r>
            <w:r w:rsidR="0EB411D4" w:rsidRPr="234AEADC">
              <w:rPr>
                <w:i/>
                <w:iCs/>
              </w:rPr>
              <w:t xml:space="preserve"> about this will be coming soon</w:t>
            </w:r>
            <w:r w:rsidR="6D5C4580" w:rsidRPr="328A43E9">
              <w:rPr>
                <w:i/>
                <w:iCs/>
              </w:rPr>
              <w:t>.</w:t>
            </w:r>
            <w:r w:rsidRPr="328A43E9">
              <w:rPr>
                <w:i/>
                <w:iCs/>
              </w:rPr>
              <w:t>)</w:t>
            </w:r>
          </w:p>
        </w:tc>
      </w:tr>
      <w:tr w:rsidR="00965A73" w:rsidRPr="00965A73" w14:paraId="138EC6AA" w14:textId="77777777" w:rsidTr="00E16A3A">
        <w:trPr>
          <w:tblCellSpacing w:w="15" w:type="dxa"/>
        </w:trPr>
        <w:tc>
          <w:tcPr>
            <w:tcW w:w="1856" w:type="dxa"/>
            <w:vAlign w:val="center"/>
            <w:hideMark/>
          </w:tcPr>
          <w:p w14:paraId="4941F6DE" w14:textId="77777777" w:rsidR="00965A73" w:rsidRPr="00965A73" w:rsidRDefault="00965A73" w:rsidP="00965A73">
            <w:r w:rsidRPr="00965A73">
              <w:rPr>
                <w:b/>
                <w:bCs/>
              </w:rPr>
              <w:t>Faculty Resources</w:t>
            </w:r>
          </w:p>
        </w:tc>
        <w:tc>
          <w:tcPr>
            <w:tcW w:w="8849" w:type="dxa"/>
            <w:vAlign w:val="center"/>
            <w:hideMark/>
          </w:tcPr>
          <w:p w14:paraId="093D4FE2" w14:textId="171E37A2" w:rsidR="00965A73" w:rsidRPr="00965A73" w:rsidRDefault="6E47FAF7" w:rsidP="234AEADC">
            <w:hyperlink r:id="rId8">
              <w:r w:rsidRPr="234AEADC">
                <w:rPr>
                  <w:rStyle w:val="Hyperlink"/>
                </w:rPr>
                <w:t>AI at Penn State</w:t>
              </w:r>
            </w:hyperlink>
          </w:p>
          <w:p w14:paraId="02A874A0" w14:textId="1BBE8A72" w:rsidR="00965A73" w:rsidRPr="00965A73" w:rsidRDefault="37F75104" w:rsidP="4E739CE8">
            <w:pPr>
              <w:rPr>
                <w:rStyle w:val="Hyperlink"/>
              </w:rPr>
            </w:pPr>
            <w:r>
              <w:t>There will be</w:t>
            </w:r>
            <w:r w:rsidR="6E47FAF7">
              <w:t xml:space="preserve"> items such as </w:t>
            </w:r>
            <w:r w:rsidR="6E47FAF7" w:rsidRPr="234AEADC">
              <w:rPr>
                <w:rFonts w:ascii="Aptos" w:eastAsia="Aptos" w:hAnsi="Aptos" w:cs="Aptos"/>
              </w:rPr>
              <w:t>syllabus language, sample assignment ideas, module previews, and PowerPoint slides with talking points — all ready to use or adapt.</w:t>
            </w:r>
          </w:p>
        </w:tc>
      </w:tr>
      <w:tr w:rsidR="00965A73" w:rsidRPr="00965A73" w14:paraId="67925E4D" w14:textId="77777777" w:rsidTr="00E16A3A">
        <w:trPr>
          <w:tblCellSpacing w:w="15" w:type="dxa"/>
        </w:trPr>
        <w:tc>
          <w:tcPr>
            <w:tcW w:w="1856" w:type="dxa"/>
            <w:vAlign w:val="center"/>
            <w:hideMark/>
          </w:tcPr>
          <w:p w14:paraId="67682580" w14:textId="77777777" w:rsidR="00965A73" w:rsidRPr="00965A73" w:rsidRDefault="00965A73" w:rsidP="00965A73">
            <w:r w:rsidRPr="00965A73">
              <w:rPr>
                <w:b/>
                <w:bCs/>
              </w:rPr>
              <w:t>Ongoing Updates</w:t>
            </w:r>
          </w:p>
        </w:tc>
        <w:tc>
          <w:tcPr>
            <w:tcW w:w="8849" w:type="dxa"/>
            <w:vAlign w:val="center"/>
            <w:hideMark/>
          </w:tcPr>
          <w:p w14:paraId="217383C2" w14:textId="77777777" w:rsidR="00965A73" w:rsidRPr="00965A73" w:rsidRDefault="00965A73" w:rsidP="00965A73">
            <w:r w:rsidRPr="00965A73">
              <w:t>Department heads, course coordinators, and newsletters</w:t>
            </w:r>
          </w:p>
        </w:tc>
      </w:tr>
    </w:tbl>
    <w:p w14:paraId="155F1E7D" w14:textId="7280A041" w:rsidR="00E16A3A" w:rsidRDefault="00E16A3A" w:rsidP="00965A73">
      <w:pPr>
        <w:rPr>
          <w:b/>
          <w:bCs/>
        </w:rPr>
      </w:pPr>
    </w:p>
    <w:p w14:paraId="020A626B" w14:textId="5C3485F6" w:rsidR="00965A73" w:rsidRPr="00965A73" w:rsidRDefault="00965A73" w:rsidP="00965A73">
      <w:r w:rsidRPr="00965A73">
        <w:rPr>
          <w:b/>
          <w:bCs/>
        </w:rPr>
        <w:t>The One Thing to Know Before You Read Further</w:t>
      </w:r>
      <w:r w:rsidR="7EEF9DBC" w:rsidRPr="234AEADC">
        <w:rPr>
          <w:b/>
          <w:bCs/>
        </w:rPr>
        <w:t xml:space="preserve">: </w:t>
      </w:r>
      <w:r w:rsidRPr="00965A73">
        <w:rPr>
          <w:b/>
          <w:bCs/>
        </w:rPr>
        <w:t xml:space="preserve">Encouraging </w:t>
      </w:r>
      <w:r w:rsidR="006924A0" w:rsidRPr="006924A0">
        <w:rPr>
          <w:b/>
          <w:bCs/>
          <w:i/>
          <w:iCs/>
        </w:rPr>
        <w:t>AI Essentials</w:t>
      </w:r>
      <w:r w:rsidRPr="00965A73">
        <w:rPr>
          <w:b/>
          <w:bCs/>
        </w:rPr>
        <w:t xml:space="preserve"> is not the same as using AI in your course.</w:t>
      </w:r>
    </w:p>
    <w:p w14:paraId="636E5140" w14:textId="77777777" w:rsidR="00965A73" w:rsidRPr="00965A73" w:rsidRDefault="00965A73" w:rsidP="00965A73">
      <w:r w:rsidRPr="00965A73">
        <w:t xml:space="preserve">Including </w:t>
      </w:r>
      <w:r w:rsidR="006924A0" w:rsidRPr="006924A0">
        <w:rPr>
          <w:i/>
          <w:iCs/>
        </w:rPr>
        <w:t>AI Essentials</w:t>
      </w:r>
      <w:r w:rsidRPr="00965A73">
        <w:t xml:space="preserve"> in your syllabus, offering extra credit for completion, or mentioning it in class does not mean:</w:t>
      </w:r>
    </w:p>
    <w:p w14:paraId="1A2FEECE" w14:textId="77777777" w:rsidR="00965A73" w:rsidRPr="00965A73" w:rsidRDefault="00965A73" w:rsidP="3111B9B7">
      <w:pPr>
        <w:ind w:left="360"/>
        <w:contextualSpacing/>
      </w:pPr>
      <w:r w:rsidRPr="00965A73">
        <w:rPr>
          <w:rFonts w:ascii="Segoe UI Emoji" w:hAnsi="Segoe UI Emoji" w:cs="Segoe UI Emoji"/>
        </w:rPr>
        <w:t>❌</w:t>
      </w:r>
      <w:r w:rsidRPr="00965A73">
        <w:t xml:space="preserve"> You are required to use AI in your teaching</w:t>
      </w:r>
    </w:p>
    <w:p w14:paraId="3BE90431" w14:textId="77777777" w:rsidR="00965A73" w:rsidRPr="00965A73" w:rsidRDefault="00965A73" w:rsidP="3111B9B7">
      <w:pPr>
        <w:ind w:left="360"/>
        <w:contextualSpacing/>
      </w:pPr>
      <w:r w:rsidRPr="00965A73">
        <w:rPr>
          <w:rFonts w:ascii="Segoe UI Emoji" w:hAnsi="Segoe UI Emoji" w:cs="Segoe UI Emoji"/>
        </w:rPr>
        <w:t>❌</w:t>
      </w:r>
      <w:r w:rsidRPr="00965A73">
        <w:t xml:space="preserve"> Students are permitted to use AI in their work</w:t>
      </w:r>
    </w:p>
    <w:p w14:paraId="75529DD8" w14:textId="77777777" w:rsidR="00965A73" w:rsidRPr="00965A73" w:rsidRDefault="00965A73" w:rsidP="3111B9B7">
      <w:pPr>
        <w:ind w:left="360"/>
        <w:contextualSpacing/>
      </w:pPr>
      <w:r w:rsidRPr="00965A73">
        <w:rPr>
          <w:rFonts w:ascii="Segoe UI Emoji" w:hAnsi="Segoe UI Emoji" w:cs="Segoe UI Emoji"/>
        </w:rPr>
        <w:t>❌</w:t>
      </w:r>
      <w:r w:rsidRPr="00965A73">
        <w:t xml:space="preserve"> You need to redesign your course, assignments, or instruction</w:t>
      </w:r>
    </w:p>
    <w:p w14:paraId="335053FF" w14:textId="46F960E9" w:rsidR="00965A73" w:rsidRPr="00965A73" w:rsidRDefault="00965A73" w:rsidP="3111B9B7">
      <w:pPr>
        <w:ind w:left="360"/>
        <w:contextualSpacing/>
      </w:pPr>
      <w:r w:rsidRPr="00965A73">
        <w:rPr>
          <w:rFonts w:ascii="Segoe UI Emoji" w:hAnsi="Segoe UI Emoji" w:cs="Segoe UI Emoji"/>
        </w:rPr>
        <w:t>❌</w:t>
      </w:r>
      <w:r w:rsidRPr="00965A73">
        <w:t xml:space="preserve"> You are making a curricular commitment of any kind</w:t>
      </w:r>
    </w:p>
    <w:p w14:paraId="50B5ECA6" w14:textId="6D55E6C4" w:rsidR="73164C7F" w:rsidRDefault="73164C7F" w:rsidP="73164C7F">
      <w:pPr>
        <w:rPr>
          <w:b/>
          <w:bCs/>
          <w:i/>
          <w:iCs/>
        </w:rPr>
      </w:pPr>
    </w:p>
    <w:p w14:paraId="74C3AA28" w14:textId="4FB6337E" w:rsidR="00965A73" w:rsidRPr="00965A73" w:rsidRDefault="006924A0" w:rsidP="00965A73">
      <w:r w:rsidRPr="006924A0">
        <w:rPr>
          <w:b/>
          <w:bCs/>
          <w:i/>
          <w:iCs/>
        </w:rPr>
        <w:t>AI Essentials</w:t>
      </w:r>
      <w:r w:rsidR="00965A73" w:rsidRPr="00965A73">
        <w:rPr>
          <w:b/>
          <w:bCs/>
        </w:rPr>
        <w:t xml:space="preserve"> is not a curricular choice. It is a literacy resource</w:t>
      </w:r>
      <w:r w:rsidR="6D4B09C9" w:rsidRPr="234AEADC">
        <w:rPr>
          <w:b/>
          <w:bCs/>
        </w:rPr>
        <w:t>,</w:t>
      </w:r>
      <w:r w:rsidR="00965A73" w:rsidRPr="00965A73">
        <w:rPr>
          <w:b/>
          <w:bCs/>
        </w:rPr>
        <w:t xml:space="preserve"> like pointing students toward the Writing Center or library workshops.</w:t>
      </w:r>
    </w:p>
    <w:p w14:paraId="1FBF2BE7" w14:textId="77777777" w:rsidR="00A51AA6" w:rsidRPr="00965A73" w:rsidRDefault="00A51AA6" w:rsidP="00A51AA6">
      <w:pPr>
        <w:rPr>
          <w:b/>
          <w:bCs/>
        </w:rPr>
      </w:pPr>
      <w:r w:rsidRPr="00965A73">
        <w:rPr>
          <w:b/>
          <w:bCs/>
        </w:rPr>
        <w:t>Faculty Autonomy: The Bottom Line</w:t>
      </w:r>
    </w:p>
    <w:tbl>
      <w:tblPr>
        <w:tblStyle w:val="TableGridLight"/>
        <w:tblW w:w="106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5"/>
        <w:gridCol w:w="4410"/>
      </w:tblGrid>
      <w:tr w:rsidR="00A51AA6" w:rsidRPr="00965A73" w14:paraId="5E613ED0" w14:textId="77777777" w:rsidTr="00E16A3A">
        <w:trPr>
          <w:tblHeader/>
          <w:tblCellSpacing w:w="15" w:type="dxa"/>
        </w:trPr>
        <w:tc>
          <w:tcPr>
            <w:tcW w:w="6160" w:type="dxa"/>
            <w:vAlign w:val="center"/>
            <w:hideMark/>
          </w:tcPr>
          <w:p w14:paraId="0404102B" w14:textId="77777777" w:rsidR="00A51AA6" w:rsidRPr="00965A73" w:rsidRDefault="00A51AA6">
            <w:pPr>
              <w:rPr>
                <w:b/>
                <w:bCs/>
              </w:rPr>
            </w:pPr>
            <w:r w:rsidRPr="00965A73">
              <w:rPr>
                <w:b/>
                <w:bCs/>
              </w:rPr>
              <w:t>You retain full control over...</w:t>
            </w:r>
          </w:p>
        </w:tc>
        <w:tc>
          <w:tcPr>
            <w:tcW w:w="4365" w:type="dxa"/>
            <w:vAlign w:val="center"/>
            <w:hideMark/>
          </w:tcPr>
          <w:p w14:paraId="2AECED88" w14:textId="77777777" w:rsidR="00A51AA6" w:rsidRPr="00965A73" w:rsidRDefault="006924A0">
            <w:pPr>
              <w:rPr>
                <w:b/>
                <w:bCs/>
              </w:rPr>
            </w:pPr>
            <w:r w:rsidRPr="006924A0">
              <w:rPr>
                <w:b/>
                <w:bCs/>
                <w:i/>
                <w:iCs/>
              </w:rPr>
              <w:t>AI Essentials</w:t>
            </w:r>
            <w:r w:rsidR="00A51AA6" w:rsidRPr="00965A73">
              <w:rPr>
                <w:b/>
                <w:bCs/>
              </w:rPr>
              <w:t xml:space="preserve"> does not affect...</w:t>
            </w:r>
          </w:p>
        </w:tc>
      </w:tr>
      <w:tr w:rsidR="00A51AA6" w:rsidRPr="00965A73" w14:paraId="6C907ED6" w14:textId="77777777" w:rsidTr="00E16A3A">
        <w:trPr>
          <w:tblCellSpacing w:w="15" w:type="dxa"/>
        </w:trPr>
        <w:tc>
          <w:tcPr>
            <w:tcW w:w="6160" w:type="dxa"/>
            <w:vAlign w:val="center"/>
            <w:hideMark/>
          </w:tcPr>
          <w:p w14:paraId="53B3AB8B" w14:textId="77777777" w:rsidR="00A51AA6" w:rsidRPr="00965A73" w:rsidRDefault="00A51AA6">
            <w:r w:rsidRPr="00965A73">
              <w:t>Whether AI is used in your course</w:t>
            </w:r>
          </w:p>
        </w:tc>
        <w:tc>
          <w:tcPr>
            <w:tcW w:w="4365" w:type="dxa"/>
            <w:vAlign w:val="center"/>
            <w:hideMark/>
          </w:tcPr>
          <w:p w14:paraId="2EC8E89C" w14:textId="77777777" w:rsidR="00A51AA6" w:rsidRPr="00965A73" w:rsidRDefault="00A51AA6">
            <w:r w:rsidRPr="00965A73">
              <w:t>Your course design</w:t>
            </w:r>
          </w:p>
        </w:tc>
      </w:tr>
      <w:tr w:rsidR="00A51AA6" w:rsidRPr="00965A73" w14:paraId="6F56A62B" w14:textId="77777777" w:rsidTr="00E16A3A">
        <w:trPr>
          <w:tblCellSpacing w:w="15" w:type="dxa"/>
        </w:trPr>
        <w:tc>
          <w:tcPr>
            <w:tcW w:w="6160" w:type="dxa"/>
            <w:vAlign w:val="center"/>
            <w:hideMark/>
          </w:tcPr>
          <w:p w14:paraId="7E5ED398" w14:textId="77777777" w:rsidR="00A51AA6" w:rsidRPr="00965A73" w:rsidRDefault="00A51AA6">
            <w:r w:rsidRPr="00965A73">
              <w:t>How assignments are structured</w:t>
            </w:r>
          </w:p>
        </w:tc>
        <w:tc>
          <w:tcPr>
            <w:tcW w:w="4365" w:type="dxa"/>
            <w:vAlign w:val="center"/>
            <w:hideMark/>
          </w:tcPr>
          <w:p w14:paraId="16E8782A" w14:textId="77777777" w:rsidR="00A51AA6" w:rsidRPr="00965A73" w:rsidRDefault="00A51AA6">
            <w:r w:rsidRPr="00965A73">
              <w:t>Your instructional approach</w:t>
            </w:r>
          </w:p>
        </w:tc>
      </w:tr>
      <w:tr w:rsidR="00A51AA6" w:rsidRPr="00965A73" w14:paraId="5CFD970A" w14:textId="77777777" w:rsidTr="00E16A3A">
        <w:trPr>
          <w:tblCellSpacing w:w="15" w:type="dxa"/>
        </w:trPr>
        <w:tc>
          <w:tcPr>
            <w:tcW w:w="6160" w:type="dxa"/>
            <w:vAlign w:val="center"/>
            <w:hideMark/>
          </w:tcPr>
          <w:p w14:paraId="6A31A153" w14:textId="77777777" w:rsidR="00A51AA6" w:rsidRPr="00965A73" w:rsidRDefault="00A51AA6">
            <w:r w:rsidRPr="00965A73">
              <w:t>What tools students may or may not use</w:t>
            </w:r>
          </w:p>
        </w:tc>
        <w:tc>
          <w:tcPr>
            <w:tcW w:w="4365" w:type="dxa"/>
            <w:vAlign w:val="center"/>
            <w:hideMark/>
          </w:tcPr>
          <w:p w14:paraId="0D06E7F7" w14:textId="77777777" w:rsidR="00A51AA6" w:rsidRPr="00965A73" w:rsidRDefault="00A51AA6">
            <w:r w:rsidRPr="00965A73">
              <w:t>Your grading and assessment</w:t>
            </w:r>
          </w:p>
        </w:tc>
      </w:tr>
      <w:tr w:rsidR="00A51AA6" w:rsidRPr="00965A73" w14:paraId="101F206D" w14:textId="77777777" w:rsidTr="00E16A3A">
        <w:trPr>
          <w:tblCellSpacing w:w="15" w:type="dxa"/>
        </w:trPr>
        <w:tc>
          <w:tcPr>
            <w:tcW w:w="6160" w:type="dxa"/>
            <w:vAlign w:val="center"/>
            <w:hideMark/>
          </w:tcPr>
          <w:p w14:paraId="07985033" w14:textId="77777777" w:rsidR="00A51AA6" w:rsidRPr="00965A73" w:rsidRDefault="00A51AA6">
            <w:r w:rsidRPr="00965A73">
              <w:t>How much or how little you engage with this resource</w:t>
            </w:r>
          </w:p>
        </w:tc>
        <w:tc>
          <w:tcPr>
            <w:tcW w:w="4365" w:type="dxa"/>
            <w:vAlign w:val="center"/>
            <w:hideMark/>
          </w:tcPr>
          <w:p w14:paraId="794967C6" w14:textId="77777777" w:rsidR="00A51AA6" w:rsidRPr="00965A73" w:rsidRDefault="00A51AA6">
            <w:r w:rsidRPr="00965A73">
              <w:t>Your existing syllabus commitments</w:t>
            </w:r>
          </w:p>
        </w:tc>
      </w:tr>
    </w:tbl>
    <w:p w14:paraId="1163C289" w14:textId="4B90DC51" w:rsidR="005C03B4" w:rsidRDefault="005C03B4" w:rsidP="00965A73"/>
    <w:p w14:paraId="3B2ABAF1" w14:textId="77777777" w:rsidR="00965A73" w:rsidRPr="00965A73" w:rsidRDefault="00965A73" w:rsidP="00E16A3A">
      <w:pPr>
        <w:pStyle w:val="Heading2"/>
        <w:rPr>
          <w:rFonts w:hint="eastAsia"/>
        </w:rPr>
      </w:pPr>
      <w:r w:rsidRPr="00965A73">
        <w:t>What Does "Encouraging It" Actually Look Like?</w:t>
      </w:r>
    </w:p>
    <w:p w14:paraId="715279BA" w14:textId="68632ED7" w:rsidR="00965A73" w:rsidRPr="00965A73" w:rsidRDefault="00965A73" w:rsidP="00965A73">
      <w:r w:rsidRPr="00965A73">
        <w:t>You have full flexibility. Here are the most common approaches</w:t>
      </w:r>
      <w:r w:rsidR="28A55481">
        <w:t>. C</w:t>
      </w:r>
      <w:r w:rsidR="507263C9">
        <w:t>hoose</w:t>
      </w:r>
      <w:r w:rsidRPr="00965A73">
        <w:t xml:space="preserve"> what fits</w:t>
      </w:r>
      <w:r w:rsidR="71EF779E">
        <w:t xml:space="preserve"> your course</w:t>
      </w:r>
      <w:r w:rsidRPr="00965A73">
        <w:t>:</w:t>
      </w:r>
    </w:p>
    <w:p w14:paraId="0414CE08" w14:textId="3D63C231" w:rsidR="00965A73" w:rsidRPr="00965A73" w:rsidRDefault="00965A73" w:rsidP="00965A73">
      <w:pPr>
        <w:rPr>
          <w:b/>
          <w:bCs/>
        </w:rPr>
      </w:pPr>
      <w:r w:rsidRPr="00965A73">
        <w:rPr>
          <w:rFonts w:ascii="Segoe UI Emoji" w:hAnsi="Segoe UI Emoji" w:cs="Segoe UI Emoji"/>
          <w:b/>
          <w:bCs/>
        </w:rPr>
        <w:t>🟢</w:t>
      </w:r>
      <w:r w:rsidRPr="00965A73">
        <w:rPr>
          <w:b/>
          <w:bCs/>
        </w:rPr>
        <w:t xml:space="preserve"> Lowest Lift</w:t>
      </w:r>
      <w:r w:rsidR="6BA5FD3C" w:rsidRPr="234AEADC">
        <w:rPr>
          <w:b/>
          <w:bCs/>
        </w:rPr>
        <w:t>:</w:t>
      </w:r>
      <w:r w:rsidRPr="00965A73">
        <w:rPr>
          <w:b/>
          <w:bCs/>
        </w:rPr>
        <w:t xml:space="preserve"> Mention It</w:t>
      </w:r>
    </w:p>
    <w:p w14:paraId="2D30CD51" w14:textId="77777777" w:rsidR="00965A73" w:rsidRPr="00965A73" w:rsidRDefault="00965A73" w:rsidP="00965A73">
      <w:r w:rsidRPr="00965A73">
        <w:t xml:space="preserve">Add a single line to your syllabus letting students know </w:t>
      </w:r>
      <w:r w:rsidR="006924A0" w:rsidRPr="006924A0">
        <w:rPr>
          <w:i/>
          <w:iCs/>
        </w:rPr>
        <w:t>AI Essentials</w:t>
      </w:r>
      <w:r w:rsidRPr="00965A73">
        <w:t xml:space="preserve"> exists. No grade attached, no follow-up required.</w:t>
      </w:r>
    </w:p>
    <w:p w14:paraId="4441700C" w14:textId="6E7FF062" w:rsidR="00965A73" w:rsidRPr="00965A73" w:rsidRDefault="00965A73" w:rsidP="00965A73">
      <w:r w:rsidRPr="00965A73">
        <w:rPr>
          <w:i/>
          <w:iCs/>
        </w:rPr>
        <w:t xml:space="preserve">"Penn State's </w:t>
      </w:r>
      <w:r w:rsidR="006924A0" w:rsidRPr="006924A0">
        <w:rPr>
          <w:i/>
          <w:iCs/>
        </w:rPr>
        <w:t>AI Essentials</w:t>
      </w:r>
      <w:r w:rsidRPr="00965A73">
        <w:rPr>
          <w:i/>
          <w:iCs/>
        </w:rPr>
        <w:t xml:space="preserve"> course is available </w:t>
      </w:r>
      <w:r w:rsidR="2A34E40F" w:rsidRPr="234AEADC">
        <w:rPr>
          <w:i/>
          <w:iCs/>
        </w:rPr>
        <w:t xml:space="preserve">in Canvas </w:t>
      </w:r>
      <w:r w:rsidRPr="00965A73">
        <w:rPr>
          <w:i/>
          <w:iCs/>
        </w:rPr>
        <w:t>to all students as a free, self-paced resource on AI literacy. You are welcome to explore it at any time."</w:t>
      </w:r>
    </w:p>
    <w:p w14:paraId="1D744B1D" w14:textId="032FC9EE" w:rsidR="00965A73" w:rsidRPr="00965A73" w:rsidRDefault="00965A73" w:rsidP="00965A73">
      <w:pPr>
        <w:rPr>
          <w:b/>
          <w:bCs/>
        </w:rPr>
      </w:pPr>
      <w:r w:rsidRPr="00965A73">
        <w:rPr>
          <w:rFonts w:ascii="Segoe UI Emoji" w:hAnsi="Segoe UI Emoji" w:cs="Segoe UI Emoji"/>
          <w:b/>
          <w:bCs/>
        </w:rPr>
        <w:t>🟡</w:t>
      </w:r>
      <w:r w:rsidRPr="00965A73">
        <w:rPr>
          <w:b/>
          <w:bCs/>
        </w:rPr>
        <w:t xml:space="preserve"> Easy Lift</w:t>
      </w:r>
      <w:r w:rsidR="7EDF7763" w:rsidRPr="234AEADC">
        <w:rPr>
          <w:b/>
          <w:bCs/>
        </w:rPr>
        <w:t>:</w:t>
      </w:r>
      <w:r w:rsidRPr="00965A73">
        <w:rPr>
          <w:b/>
          <w:bCs/>
        </w:rPr>
        <w:t xml:space="preserve"> Incentivize It</w:t>
      </w:r>
    </w:p>
    <w:p w14:paraId="11724758" w14:textId="31FF21FE" w:rsidR="00965A73" w:rsidRPr="00965A73" w:rsidRDefault="00965A73" w:rsidP="00965A73">
      <w:r w:rsidRPr="00965A73">
        <w:t xml:space="preserve">Offer a small amount of extra credit for students who complete </w:t>
      </w:r>
      <w:r w:rsidR="006924A0" w:rsidRPr="006924A0">
        <w:rPr>
          <w:i/>
          <w:iCs/>
        </w:rPr>
        <w:t>AI Essentials</w:t>
      </w:r>
      <w:r w:rsidRPr="00965A73">
        <w:t xml:space="preserve"> and </w:t>
      </w:r>
      <w:r w:rsidR="2989209C">
        <w:t xml:space="preserve">have the student </w:t>
      </w:r>
      <w:r w:rsidRPr="00965A73">
        <w:t>submit proof of completion. No new content, no new unit</w:t>
      </w:r>
      <w:r w:rsidR="2AF999AB">
        <w:t>,</w:t>
      </w:r>
      <w:r w:rsidRPr="00965A73">
        <w:t xml:space="preserve"> just a brief acknowledgment in your gradebook.</w:t>
      </w:r>
    </w:p>
    <w:p w14:paraId="6827AA19" w14:textId="3EC9E940" w:rsidR="00965A73" w:rsidRPr="00965A73" w:rsidRDefault="00965A73" w:rsidP="00965A73">
      <w:pPr>
        <w:rPr>
          <w:b/>
          <w:bCs/>
        </w:rPr>
      </w:pPr>
      <w:r w:rsidRPr="00965A73">
        <w:rPr>
          <w:rFonts w:ascii="Segoe UI Emoji" w:hAnsi="Segoe UI Emoji" w:cs="Segoe UI Emoji"/>
          <w:b/>
          <w:bCs/>
        </w:rPr>
        <w:t>🟠</w:t>
      </w:r>
      <w:r w:rsidRPr="00965A73">
        <w:rPr>
          <w:b/>
          <w:bCs/>
        </w:rPr>
        <w:t xml:space="preserve"> Moderate Lift</w:t>
      </w:r>
      <w:r w:rsidR="0A2E1255" w:rsidRPr="234AEADC">
        <w:rPr>
          <w:b/>
          <w:bCs/>
        </w:rPr>
        <w:t>:</w:t>
      </w:r>
      <w:r w:rsidRPr="00965A73">
        <w:rPr>
          <w:b/>
          <w:bCs/>
        </w:rPr>
        <w:t xml:space="preserve"> Connect It</w:t>
      </w:r>
    </w:p>
    <w:p w14:paraId="54B56496" w14:textId="77777777" w:rsidR="00965A73" w:rsidRPr="00965A73" w:rsidRDefault="00965A73" w:rsidP="00965A73">
      <w:r w:rsidRPr="00965A73">
        <w:t xml:space="preserve">Pair completion with a short reflection prompt or discussion post that asks students to connect one idea from </w:t>
      </w:r>
      <w:r w:rsidR="006924A0" w:rsidRPr="006924A0">
        <w:rPr>
          <w:i/>
          <w:iCs/>
        </w:rPr>
        <w:t>AI Essentials</w:t>
      </w:r>
      <w:r w:rsidRPr="00965A73">
        <w:t xml:space="preserve"> to your course, their field, or their life. Sample prompts are available on the faculty resource page.</w:t>
      </w:r>
    </w:p>
    <w:p w14:paraId="4DE0B0B9" w14:textId="2CB9C483" w:rsidR="00965A73" w:rsidRPr="00965A73" w:rsidRDefault="00965A73" w:rsidP="00965A73">
      <w:pPr>
        <w:rPr>
          <w:b/>
          <w:bCs/>
        </w:rPr>
      </w:pPr>
      <w:r w:rsidRPr="00965A73">
        <w:rPr>
          <w:rFonts w:ascii="Segoe UI Emoji" w:hAnsi="Segoe UI Emoji" w:cs="Segoe UI Emoji"/>
          <w:b/>
          <w:bCs/>
        </w:rPr>
        <w:t>🔴</w:t>
      </w:r>
      <w:r w:rsidRPr="00965A73">
        <w:rPr>
          <w:b/>
          <w:bCs/>
        </w:rPr>
        <w:t xml:space="preserve"> Your Call</w:t>
      </w:r>
      <w:r w:rsidR="4F28E948" w:rsidRPr="234AEADC">
        <w:rPr>
          <w:b/>
          <w:bCs/>
        </w:rPr>
        <w:t>:</w:t>
      </w:r>
      <w:r w:rsidRPr="00965A73">
        <w:rPr>
          <w:b/>
          <w:bCs/>
        </w:rPr>
        <w:t xml:space="preserve"> Require It</w:t>
      </w:r>
    </w:p>
    <w:p w14:paraId="3FE88811" w14:textId="77777777" w:rsidR="00965A73" w:rsidRPr="00965A73" w:rsidRDefault="00965A73" w:rsidP="00965A73">
      <w:r w:rsidRPr="00965A73">
        <w:t xml:space="preserve">Faculty who choose to make </w:t>
      </w:r>
      <w:r w:rsidR="006924A0" w:rsidRPr="006924A0">
        <w:rPr>
          <w:i/>
          <w:iCs/>
        </w:rPr>
        <w:t>AI Essentials</w:t>
      </w:r>
      <w:r w:rsidRPr="00965A73">
        <w:t xml:space="preserve"> a course requirement may do so. Sample syllabus language for required completion is available on the faculty resource page.</w:t>
      </w:r>
    </w:p>
    <w:p w14:paraId="56B8CC5E" w14:textId="6E6A79BA" w:rsidR="00965A73" w:rsidRPr="00965A73" w:rsidRDefault="00965A73" w:rsidP="00965A73">
      <w:r w:rsidRPr="00965A73">
        <w:rPr>
          <w:b/>
          <w:bCs/>
        </w:rPr>
        <w:t xml:space="preserve">Any of these approaches — or none of them — </w:t>
      </w:r>
      <w:r w:rsidR="7CCA4A94" w:rsidRPr="234AEADC">
        <w:rPr>
          <w:b/>
          <w:bCs/>
        </w:rPr>
        <w:t>may</w:t>
      </w:r>
      <w:r w:rsidR="36194E57" w:rsidRPr="234AEADC">
        <w:rPr>
          <w:b/>
          <w:bCs/>
        </w:rPr>
        <w:t xml:space="preserve"> </w:t>
      </w:r>
      <w:r w:rsidR="7CCA4A94" w:rsidRPr="234AEADC">
        <w:rPr>
          <w:b/>
          <w:bCs/>
        </w:rPr>
        <w:t>be</w:t>
      </w:r>
      <w:r w:rsidRPr="00965A73">
        <w:rPr>
          <w:b/>
          <w:bCs/>
        </w:rPr>
        <w:t xml:space="preserve"> the right choice for your course.</w:t>
      </w:r>
    </w:p>
    <w:p w14:paraId="2BF6286C" w14:textId="77777777" w:rsidR="00965A73" w:rsidRPr="00965A73" w:rsidRDefault="00965A73" w:rsidP="00E16A3A">
      <w:pPr>
        <w:pStyle w:val="Heading2"/>
        <w:rPr>
          <w:rFonts w:hint="eastAsia"/>
        </w:rPr>
      </w:pPr>
      <w:r w:rsidRPr="00965A73">
        <w:t>What Do I Actually Need to Do?</w:t>
      </w:r>
    </w:p>
    <w:p w14:paraId="1D797D38" w14:textId="77777777" w:rsidR="00965A73" w:rsidRPr="00965A73" w:rsidRDefault="00965A73" w:rsidP="00965A73">
      <w:r w:rsidRPr="00965A73">
        <w:t>Here is the complete list of required actions:</w:t>
      </w:r>
    </w:p>
    <w:p w14:paraId="58C599D8" w14:textId="77777777" w:rsidR="00965A73" w:rsidRPr="00965A73" w:rsidRDefault="00965A73" w:rsidP="00965A73">
      <w:r w:rsidRPr="00965A73">
        <w:rPr>
          <w:b/>
          <w:bCs/>
        </w:rPr>
        <w:t>Nothing is required.</w:t>
      </w:r>
    </w:p>
    <w:p w14:paraId="2FABDEC4" w14:textId="30CAD699" w:rsidR="00965A73" w:rsidRPr="00965A73" w:rsidRDefault="00965A73" w:rsidP="00965A73">
      <w:r w:rsidRPr="00965A73">
        <w:t xml:space="preserve">Here is what you are </w:t>
      </w:r>
      <w:r w:rsidR="50605F5D">
        <w:t xml:space="preserve">strongly </w:t>
      </w:r>
      <w:r w:rsidRPr="00965A73">
        <w:t>encouraged to do before fall:</w:t>
      </w:r>
    </w:p>
    <w:p w14:paraId="6F8DE33C" w14:textId="77777777" w:rsidR="00965A73" w:rsidRPr="00965A73" w:rsidRDefault="00965A73" w:rsidP="00E16A3A">
      <w:pPr>
        <w:pStyle w:val="ListParagraph"/>
        <w:numPr>
          <w:ilvl w:val="0"/>
          <w:numId w:val="3"/>
        </w:numPr>
      </w:pPr>
      <w:r w:rsidRPr="00965A73">
        <w:t xml:space="preserve">Access </w:t>
      </w:r>
      <w:r w:rsidR="006924A0" w:rsidRPr="00E16A3A">
        <w:rPr>
          <w:i/>
          <w:iCs/>
        </w:rPr>
        <w:t>AI Essentials</w:t>
      </w:r>
      <w:r w:rsidRPr="00965A73">
        <w:t xml:space="preserve"> through LRN and preview the modules at your own pace</w:t>
      </w:r>
    </w:p>
    <w:p w14:paraId="3153736D" w14:textId="1949B928" w:rsidR="00965A73" w:rsidRPr="00E16A3A" w:rsidRDefault="00965A73" w:rsidP="6473E8C5">
      <w:pPr>
        <w:pStyle w:val="ListParagraph"/>
        <w:numPr>
          <w:ilvl w:val="0"/>
          <w:numId w:val="3"/>
        </w:numPr>
        <w:rPr>
          <w:i/>
          <w:iCs/>
        </w:rPr>
      </w:pPr>
      <w:r>
        <w:t xml:space="preserve">Visit the </w:t>
      </w:r>
      <w:hyperlink r:id="rId9">
        <w:r w:rsidR="2E9FE43D" w:rsidRPr="6473E8C5">
          <w:rPr>
            <w:rStyle w:val="Hyperlink"/>
          </w:rPr>
          <w:t>f</w:t>
        </w:r>
        <w:r w:rsidR="00B34B3F" w:rsidRPr="6473E8C5">
          <w:rPr>
            <w:rStyle w:val="Hyperlink"/>
          </w:rPr>
          <w:t>aculty resource page</w:t>
        </w:r>
      </w:hyperlink>
      <w:r w:rsidR="197D3F8E">
        <w:t xml:space="preserve"> </w:t>
      </w:r>
      <w:r>
        <w:t xml:space="preserve">when it launches </w:t>
      </w:r>
      <w:r w:rsidRPr="6473E8C5">
        <w:rPr>
          <w:i/>
          <w:iCs/>
        </w:rPr>
        <w:t>(coming soon)</w:t>
      </w:r>
    </w:p>
    <w:p w14:paraId="697FF589" w14:textId="1BD94584" w:rsidR="00965A73" w:rsidRPr="00965A73" w:rsidRDefault="00965A73" w:rsidP="00E16A3A">
      <w:pPr>
        <w:pStyle w:val="ListParagraph"/>
        <w:numPr>
          <w:ilvl w:val="0"/>
          <w:numId w:val="3"/>
        </w:numPr>
      </w:pPr>
      <w:r w:rsidRPr="00965A73">
        <w:t>Decide how you'd like to encourage student completion</w:t>
      </w:r>
    </w:p>
    <w:p w14:paraId="6CFB79E9" w14:textId="77777777" w:rsidR="00965A73" w:rsidRPr="00965A73" w:rsidRDefault="00965A73" w:rsidP="00E16A3A">
      <w:pPr>
        <w:pStyle w:val="ListParagraph"/>
        <w:numPr>
          <w:ilvl w:val="0"/>
          <w:numId w:val="3"/>
        </w:numPr>
      </w:pPr>
      <w:r w:rsidRPr="00965A73">
        <w:t>Use, adapt, or ignore the ready-made syllabus language and assignment ideas available to you</w:t>
      </w:r>
    </w:p>
    <w:p w14:paraId="0680C421" w14:textId="77777777" w:rsidR="00965A73" w:rsidRPr="00965A73" w:rsidRDefault="00965A73" w:rsidP="00E16A3A">
      <w:pPr>
        <w:pStyle w:val="ListParagraph"/>
        <w:numPr>
          <w:ilvl w:val="0"/>
          <w:numId w:val="3"/>
        </w:numPr>
      </w:pPr>
      <w:r w:rsidRPr="00965A73">
        <w:t>Reach out to your department head or course coordinator with questions</w:t>
      </w:r>
    </w:p>
    <w:p w14:paraId="14F0C96F" w14:textId="77777777" w:rsidR="00965A73" w:rsidRPr="00965A73" w:rsidRDefault="00965A73" w:rsidP="00965A73">
      <w:r w:rsidRPr="00965A73">
        <w:rPr>
          <w:b/>
          <w:bCs/>
        </w:rPr>
        <w:t>That's it.</w:t>
      </w:r>
    </w:p>
    <w:p w14:paraId="0553C81D" w14:textId="77777777" w:rsidR="00965A73" w:rsidRPr="00965A73" w:rsidRDefault="00965A73" w:rsidP="00E16A3A">
      <w:pPr>
        <w:pStyle w:val="Heading2"/>
        <w:rPr>
          <w:rFonts w:hint="eastAsia"/>
        </w:rPr>
      </w:pPr>
      <w:r w:rsidRPr="00965A73">
        <w:t>Timeline at a Glance</w:t>
      </w:r>
    </w:p>
    <w:tbl>
      <w:tblPr>
        <w:tblStyle w:val="TableGridLight"/>
        <w:tblW w:w="107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8975"/>
      </w:tblGrid>
      <w:tr w:rsidR="00965A73" w:rsidRPr="00965A73" w14:paraId="3F760E93" w14:textId="77777777" w:rsidTr="00E16A3A">
        <w:trPr>
          <w:tblHeader/>
          <w:tblCellSpacing w:w="15" w:type="dxa"/>
        </w:trPr>
        <w:tc>
          <w:tcPr>
            <w:tcW w:w="1775" w:type="dxa"/>
            <w:vAlign w:val="center"/>
            <w:hideMark/>
          </w:tcPr>
          <w:p w14:paraId="7A30B941" w14:textId="77777777" w:rsidR="00965A73" w:rsidRPr="00965A73" w:rsidRDefault="00965A73" w:rsidP="00965A73">
            <w:pPr>
              <w:rPr>
                <w:b/>
                <w:bCs/>
              </w:rPr>
            </w:pPr>
            <w:r w:rsidRPr="00965A73">
              <w:rPr>
                <w:b/>
                <w:bCs/>
              </w:rPr>
              <w:t>When</w:t>
            </w:r>
          </w:p>
        </w:tc>
        <w:tc>
          <w:tcPr>
            <w:tcW w:w="8930" w:type="dxa"/>
            <w:vAlign w:val="center"/>
            <w:hideMark/>
          </w:tcPr>
          <w:p w14:paraId="3A3FDFB6" w14:textId="77777777" w:rsidR="00965A73" w:rsidRPr="00965A73" w:rsidRDefault="00965A73" w:rsidP="00965A73">
            <w:pPr>
              <w:rPr>
                <w:b/>
                <w:bCs/>
              </w:rPr>
            </w:pPr>
            <w:r w:rsidRPr="00965A73">
              <w:rPr>
                <w:b/>
                <w:bCs/>
              </w:rPr>
              <w:t>What's Available</w:t>
            </w:r>
          </w:p>
        </w:tc>
      </w:tr>
      <w:tr w:rsidR="00965A73" w:rsidRPr="00965A73" w14:paraId="29A51B3C" w14:textId="77777777" w:rsidTr="00E16A3A">
        <w:trPr>
          <w:tblCellSpacing w:w="15" w:type="dxa"/>
        </w:trPr>
        <w:tc>
          <w:tcPr>
            <w:tcW w:w="1775" w:type="dxa"/>
            <w:vAlign w:val="center"/>
            <w:hideMark/>
          </w:tcPr>
          <w:p w14:paraId="2F1A05DB" w14:textId="77777777" w:rsidR="00965A73" w:rsidRPr="00965A73" w:rsidRDefault="00965A73" w:rsidP="00965A73">
            <w:r w:rsidRPr="00965A73">
              <w:rPr>
                <w:b/>
                <w:bCs/>
              </w:rPr>
              <w:t>Now</w:t>
            </w:r>
          </w:p>
        </w:tc>
        <w:tc>
          <w:tcPr>
            <w:tcW w:w="8930" w:type="dxa"/>
            <w:vAlign w:val="center"/>
            <w:hideMark/>
          </w:tcPr>
          <w:p w14:paraId="145F5DFB" w14:textId="77777777" w:rsidR="00965A73" w:rsidRPr="00965A73" w:rsidRDefault="006924A0" w:rsidP="00965A73">
            <w:r w:rsidRPr="006924A0">
              <w:rPr>
                <w:i/>
                <w:iCs/>
              </w:rPr>
              <w:t>AI Essentials</w:t>
            </w:r>
            <w:r w:rsidR="00965A73" w:rsidRPr="00965A73">
              <w:t xml:space="preserve"> in </w:t>
            </w:r>
            <w:hyperlink r:id="rId10">
              <w:r w:rsidR="54B97402" w:rsidRPr="57E9B904">
                <w:rPr>
                  <w:rStyle w:val="Hyperlink"/>
                </w:rPr>
                <w:t xml:space="preserve">LRN </w:t>
              </w:r>
            </w:hyperlink>
            <w:r w:rsidR="00965A73" w:rsidRPr="00965A73">
              <w:t>for faculty preview</w:t>
            </w:r>
          </w:p>
        </w:tc>
      </w:tr>
      <w:tr w:rsidR="00965A73" w:rsidRPr="00965A73" w14:paraId="7A005828" w14:textId="77777777" w:rsidTr="00E16A3A">
        <w:trPr>
          <w:tblCellSpacing w:w="15" w:type="dxa"/>
        </w:trPr>
        <w:tc>
          <w:tcPr>
            <w:tcW w:w="1775" w:type="dxa"/>
            <w:vAlign w:val="center"/>
            <w:hideMark/>
          </w:tcPr>
          <w:p w14:paraId="3E12975A" w14:textId="77777777" w:rsidR="00965A73" w:rsidRPr="00965A73" w:rsidRDefault="00965A73" w:rsidP="00965A73">
            <w:r w:rsidRPr="00965A73">
              <w:rPr>
                <w:b/>
                <w:bCs/>
              </w:rPr>
              <w:t>Coming Soon</w:t>
            </w:r>
          </w:p>
        </w:tc>
        <w:tc>
          <w:tcPr>
            <w:tcW w:w="8930" w:type="dxa"/>
            <w:vAlign w:val="center"/>
            <w:hideMark/>
          </w:tcPr>
          <w:p w14:paraId="6A452744" w14:textId="77777777" w:rsidR="00965A73" w:rsidRPr="00965A73" w:rsidRDefault="00965A73" w:rsidP="00965A73">
            <w:r w:rsidRPr="00965A73">
              <w:t>Student access via Canvas</w:t>
            </w:r>
          </w:p>
        </w:tc>
      </w:tr>
      <w:tr w:rsidR="00965A73" w:rsidRPr="00965A73" w14:paraId="7B4C9D11" w14:textId="77777777" w:rsidTr="00E16A3A">
        <w:trPr>
          <w:tblCellSpacing w:w="15" w:type="dxa"/>
        </w:trPr>
        <w:tc>
          <w:tcPr>
            <w:tcW w:w="1775" w:type="dxa"/>
            <w:vAlign w:val="center"/>
            <w:hideMark/>
          </w:tcPr>
          <w:p w14:paraId="7A42EB6B" w14:textId="77777777" w:rsidR="00965A73" w:rsidRPr="00965A73" w:rsidRDefault="00965A73" w:rsidP="00965A73">
            <w:r w:rsidRPr="00965A73">
              <w:rPr>
                <w:b/>
                <w:bCs/>
              </w:rPr>
              <w:t>This Summer</w:t>
            </w:r>
          </w:p>
        </w:tc>
        <w:tc>
          <w:tcPr>
            <w:tcW w:w="8930" w:type="dxa"/>
            <w:vAlign w:val="center"/>
            <w:hideMark/>
          </w:tcPr>
          <w:p w14:paraId="744E4F7E" w14:textId="77777777" w:rsidR="00965A73" w:rsidRPr="00965A73" w:rsidRDefault="00965A73" w:rsidP="00965A73">
            <w:hyperlink r:id="rId11">
              <w:r w:rsidRPr="08A950E2">
                <w:rPr>
                  <w:rStyle w:val="Hyperlink"/>
                </w:rPr>
                <w:t>Faculty resource page</w:t>
              </w:r>
            </w:hyperlink>
            <w:r>
              <w:t xml:space="preserve"> launches with syllabus language, assignments, module previews, and talking points</w:t>
            </w:r>
          </w:p>
        </w:tc>
      </w:tr>
      <w:tr w:rsidR="00965A73" w:rsidRPr="00965A73" w14:paraId="67989424" w14:textId="77777777" w:rsidTr="00E16A3A">
        <w:trPr>
          <w:tblCellSpacing w:w="15" w:type="dxa"/>
        </w:trPr>
        <w:tc>
          <w:tcPr>
            <w:tcW w:w="1775" w:type="dxa"/>
            <w:vAlign w:val="center"/>
            <w:hideMark/>
          </w:tcPr>
          <w:p w14:paraId="45327E9A" w14:textId="77777777" w:rsidR="00965A73" w:rsidRPr="00965A73" w:rsidRDefault="00965A73" w:rsidP="00965A73">
            <w:r w:rsidRPr="00965A73">
              <w:rPr>
                <w:b/>
                <w:bCs/>
              </w:rPr>
              <w:t>Summer &amp; Fall</w:t>
            </w:r>
          </w:p>
        </w:tc>
        <w:tc>
          <w:tcPr>
            <w:tcW w:w="8930" w:type="dxa"/>
            <w:vAlign w:val="center"/>
            <w:hideMark/>
          </w:tcPr>
          <w:p w14:paraId="3D2FA34D" w14:textId="77777777" w:rsidR="00965A73" w:rsidRPr="00965A73" w:rsidRDefault="00965A73" w:rsidP="00965A73">
            <w:r w:rsidRPr="00965A73">
              <w:t>Ongoing updates through department heads, course coordinators, and newsletters</w:t>
            </w:r>
          </w:p>
        </w:tc>
      </w:tr>
    </w:tbl>
    <w:p w14:paraId="63781ABE" w14:textId="5433FA26" w:rsidR="005C03B4" w:rsidRDefault="005C03B4" w:rsidP="00965A73"/>
    <w:p w14:paraId="11A6D9EC" w14:textId="77777777" w:rsidR="00965A73" w:rsidRPr="00965A73" w:rsidRDefault="00965A73" w:rsidP="00E16A3A">
      <w:pPr>
        <w:pStyle w:val="Heading2"/>
        <w:rPr>
          <w:rFonts w:hint="eastAsia"/>
        </w:rPr>
      </w:pPr>
      <w:r w:rsidRPr="00965A73">
        <w:t>Questions?</w:t>
      </w:r>
    </w:p>
    <w:p w14:paraId="04ABDD27" w14:textId="0654C5A3" w:rsidR="05C1800B" w:rsidRDefault="00965A73" w:rsidP="05C1800B">
      <w:r w:rsidRPr="05C1800B">
        <w:t xml:space="preserve">Contact your department head, course coordinator, or visit the </w:t>
      </w:r>
      <w:hyperlink r:id="rId12">
        <w:r w:rsidR="507263C9" w:rsidRPr="05C1800B">
          <w:rPr>
            <w:rStyle w:val="Hyperlink"/>
          </w:rPr>
          <w:t>faculty resource page</w:t>
        </w:r>
      </w:hyperlink>
      <w:r w:rsidRPr="05C1800B">
        <w:t xml:space="preserve"> for the most current information.</w:t>
      </w:r>
    </w:p>
    <w:p w14:paraId="3526C4E5" w14:textId="793D7532" w:rsidR="00965A73" w:rsidRPr="00965A73" w:rsidRDefault="006924A0" w:rsidP="00965A73">
      <w:r w:rsidRPr="05C1800B">
        <w:rPr>
          <w:i/>
          <w:iCs/>
        </w:rPr>
        <w:t>AI Essentials</w:t>
      </w:r>
      <w:r w:rsidR="00965A73" w:rsidRPr="05C1800B">
        <w:t xml:space="preserve"> is part of Penn State's phased approach to building a university community that is prepared, informed, and confident in navigating an AI-informed world on terms that work for every faculty member and every course.</w:t>
      </w:r>
    </w:p>
    <w:p w14:paraId="461DBB7C" w14:textId="77777777" w:rsidR="00965A73" w:rsidRDefault="00965A73"/>
    <w:sectPr w:rsidR="00965A73" w:rsidSect="009B23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12E9"/>
    <w:multiLevelType w:val="hybridMultilevel"/>
    <w:tmpl w:val="43D83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656EFB"/>
    <w:multiLevelType w:val="multilevel"/>
    <w:tmpl w:val="BB8E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33E66"/>
    <w:multiLevelType w:val="multilevel"/>
    <w:tmpl w:val="4224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D2F33"/>
    <w:multiLevelType w:val="multilevel"/>
    <w:tmpl w:val="DFA6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90AE9"/>
    <w:multiLevelType w:val="multilevel"/>
    <w:tmpl w:val="8E82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61049"/>
    <w:multiLevelType w:val="hybridMultilevel"/>
    <w:tmpl w:val="D74C0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726FC"/>
    <w:multiLevelType w:val="multilevel"/>
    <w:tmpl w:val="ADD2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070E7"/>
    <w:multiLevelType w:val="hybridMultilevel"/>
    <w:tmpl w:val="400EB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250C3"/>
    <w:multiLevelType w:val="multilevel"/>
    <w:tmpl w:val="1B6E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915665">
    <w:abstractNumId w:val="7"/>
  </w:num>
  <w:num w:numId="2" w16cid:durableId="1404108870">
    <w:abstractNumId w:val="2"/>
  </w:num>
  <w:num w:numId="3" w16cid:durableId="1577738646">
    <w:abstractNumId w:val="0"/>
  </w:num>
  <w:num w:numId="4" w16cid:durableId="1580941977">
    <w:abstractNumId w:val="8"/>
  </w:num>
  <w:num w:numId="5" w16cid:durableId="2082369167">
    <w:abstractNumId w:val="4"/>
  </w:num>
  <w:num w:numId="6" w16cid:durableId="533465299">
    <w:abstractNumId w:val="6"/>
  </w:num>
  <w:num w:numId="7" w16cid:durableId="534925892">
    <w:abstractNumId w:val="5"/>
  </w:num>
  <w:num w:numId="8" w16cid:durableId="586426623">
    <w:abstractNumId w:val="3"/>
  </w:num>
  <w:num w:numId="9" w16cid:durableId="95263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78"/>
    <w:rsid w:val="00027DF4"/>
    <w:rsid w:val="0003213F"/>
    <w:rsid w:val="000324CB"/>
    <w:rsid w:val="00077A1A"/>
    <w:rsid w:val="00091FC1"/>
    <w:rsid w:val="000B2D7A"/>
    <w:rsid w:val="0010139C"/>
    <w:rsid w:val="00113CD7"/>
    <w:rsid w:val="00154F07"/>
    <w:rsid w:val="00167136"/>
    <w:rsid w:val="00171083"/>
    <w:rsid w:val="001C3F3A"/>
    <w:rsid w:val="001D1118"/>
    <w:rsid w:val="001E36B7"/>
    <w:rsid w:val="001F6AFC"/>
    <w:rsid w:val="00223C91"/>
    <w:rsid w:val="00251E98"/>
    <w:rsid w:val="002733C0"/>
    <w:rsid w:val="002A17FF"/>
    <w:rsid w:val="002B5EAD"/>
    <w:rsid w:val="002B6CEE"/>
    <w:rsid w:val="002D1084"/>
    <w:rsid w:val="002D2D84"/>
    <w:rsid w:val="00325507"/>
    <w:rsid w:val="00335270"/>
    <w:rsid w:val="003455F8"/>
    <w:rsid w:val="00355D09"/>
    <w:rsid w:val="00356027"/>
    <w:rsid w:val="0041768A"/>
    <w:rsid w:val="00424E4C"/>
    <w:rsid w:val="00450ECB"/>
    <w:rsid w:val="004743E2"/>
    <w:rsid w:val="004829EB"/>
    <w:rsid w:val="00506C6A"/>
    <w:rsid w:val="00526169"/>
    <w:rsid w:val="005306EA"/>
    <w:rsid w:val="00554400"/>
    <w:rsid w:val="005775C4"/>
    <w:rsid w:val="00590878"/>
    <w:rsid w:val="005C03B4"/>
    <w:rsid w:val="00612AB5"/>
    <w:rsid w:val="00620678"/>
    <w:rsid w:val="00620FD3"/>
    <w:rsid w:val="006370B0"/>
    <w:rsid w:val="006500EE"/>
    <w:rsid w:val="00691CC1"/>
    <w:rsid w:val="006924A0"/>
    <w:rsid w:val="006A5296"/>
    <w:rsid w:val="006A571F"/>
    <w:rsid w:val="006C6612"/>
    <w:rsid w:val="006C6B3E"/>
    <w:rsid w:val="006E6A6D"/>
    <w:rsid w:val="00733390"/>
    <w:rsid w:val="00737000"/>
    <w:rsid w:val="007455B2"/>
    <w:rsid w:val="007708C1"/>
    <w:rsid w:val="0077319C"/>
    <w:rsid w:val="007D5468"/>
    <w:rsid w:val="007D711F"/>
    <w:rsid w:val="008060CA"/>
    <w:rsid w:val="00827021"/>
    <w:rsid w:val="008412E9"/>
    <w:rsid w:val="0089086C"/>
    <w:rsid w:val="00893F4F"/>
    <w:rsid w:val="008C09F9"/>
    <w:rsid w:val="008C26A8"/>
    <w:rsid w:val="009242FE"/>
    <w:rsid w:val="009512BF"/>
    <w:rsid w:val="00957255"/>
    <w:rsid w:val="009600DA"/>
    <w:rsid w:val="00965A73"/>
    <w:rsid w:val="009966F5"/>
    <w:rsid w:val="009B23AA"/>
    <w:rsid w:val="009B6696"/>
    <w:rsid w:val="009F5160"/>
    <w:rsid w:val="00A2114C"/>
    <w:rsid w:val="00A30265"/>
    <w:rsid w:val="00A4035E"/>
    <w:rsid w:val="00A51AA6"/>
    <w:rsid w:val="00A86F1A"/>
    <w:rsid w:val="00A8729A"/>
    <w:rsid w:val="00A9626F"/>
    <w:rsid w:val="00AD2BEE"/>
    <w:rsid w:val="00AD6028"/>
    <w:rsid w:val="00B34B3F"/>
    <w:rsid w:val="00B455E1"/>
    <w:rsid w:val="00B45FA7"/>
    <w:rsid w:val="00B52CD5"/>
    <w:rsid w:val="00B8107B"/>
    <w:rsid w:val="00BA1456"/>
    <w:rsid w:val="00BA6650"/>
    <w:rsid w:val="00BC7677"/>
    <w:rsid w:val="00BE0E95"/>
    <w:rsid w:val="00C140D1"/>
    <w:rsid w:val="00C166A8"/>
    <w:rsid w:val="00C31E1B"/>
    <w:rsid w:val="00C32131"/>
    <w:rsid w:val="00C522E4"/>
    <w:rsid w:val="00C675BE"/>
    <w:rsid w:val="00CD10E0"/>
    <w:rsid w:val="00CF0301"/>
    <w:rsid w:val="00D07F0B"/>
    <w:rsid w:val="00D552D4"/>
    <w:rsid w:val="00D97513"/>
    <w:rsid w:val="00DA1DDC"/>
    <w:rsid w:val="00DB6ECB"/>
    <w:rsid w:val="00DB70F8"/>
    <w:rsid w:val="00DE7AB4"/>
    <w:rsid w:val="00DF292A"/>
    <w:rsid w:val="00E16A3A"/>
    <w:rsid w:val="00E23C94"/>
    <w:rsid w:val="00E45C61"/>
    <w:rsid w:val="00E8667E"/>
    <w:rsid w:val="00EA1CF2"/>
    <w:rsid w:val="00EC38A6"/>
    <w:rsid w:val="00EE35E4"/>
    <w:rsid w:val="00EE44E9"/>
    <w:rsid w:val="00EF0756"/>
    <w:rsid w:val="00EF4DE5"/>
    <w:rsid w:val="00EF7B4F"/>
    <w:rsid w:val="00F126FF"/>
    <w:rsid w:val="00F23481"/>
    <w:rsid w:val="00F32E25"/>
    <w:rsid w:val="00F51C74"/>
    <w:rsid w:val="00F569C5"/>
    <w:rsid w:val="00F618A1"/>
    <w:rsid w:val="00F85BB3"/>
    <w:rsid w:val="00FC01E7"/>
    <w:rsid w:val="00FC1395"/>
    <w:rsid w:val="00FE3602"/>
    <w:rsid w:val="023A52A8"/>
    <w:rsid w:val="02910B2E"/>
    <w:rsid w:val="03ADDD60"/>
    <w:rsid w:val="04087CA8"/>
    <w:rsid w:val="05C1800B"/>
    <w:rsid w:val="07804E54"/>
    <w:rsid w:val="0797119C"/>
    <w:rsid w:val="08A950E2"/>
    <w:rsid w:val="0A2E1255"/>
    <w:rsid w:val="0C29F11A"/>
    <w:rsid w:val="0CCA6E0C"/>
    <w:rsid w:val="0D25E010"/>
    <w:rsid w:val="0E676D48"/>
    <w:rsid w:val="0E6AABAA"/>
    <w:rsid w:val="0EB411D4"/>
    <w:rsid w:val="0F4E98D4"/>
    <w:rsid w:val="105911CF"/>
    <w:rsid w:val="1089D4CA"/>
    <w:rsid w:val="115F357A"/>
    <w:rsid w:val="118FBA82"/>
    <w:rsid w:val="119D3885"/>
    <w:rsid w:val="12752ED3"/>
    <w:rsid w:val="12A54EF0"/>
    <w:rsid w:val="1445DC6A"/>
    <w:rsid w:val="15834943"/>
    <w:rsid w:val="18F14344"/>
    <w:rsid w:val="197D3F8E"/>
    <w:rsid w:val="1B21FA4B"/>
    <w:rsid w:val="1B608644"/>
    <w:rsid w:val="1BA01503"/>
    <w:rsid w:val="1C39B30C"/>
    <w:rsid w:val="1C89C2EF"/>
    <w:rsid w:val="1E4F1B77"/>
    <w:rsid w:val="200C0A7D"/>
    <w:rsid w:val="20B65B0E"/>
    <w:rsid w:val="20EC2025"/>
    <w:rsid w:val="234AEADC"/>
    <w:rsid w:val="26E0267F"/>
    <w:rsid w:val="28A55481"/>
    <w:rsid w:val="2989209C"/>
    <w:rsid w:val="2A34E40F"/>
    <w:rsid w:val="2AF999AB"/>
    <w:rsid w:val="2B63799E"/>
    <w:rsid w:val="2C4F6234"/>
    <w:rsid w:val="2E9FE43D"/>
    <w:rsid w:val="2EC091D4"/>
    <w:rsid w:val="3111B9B7"/>
    <w:rsid w:val="31EFB90B"/>
    <w:rsid w:val="328A43E9"/>
    <w:rsid w:val="32DB91DA"/>
    <w:rsid w:val="3395BE21"/>
    <w:rsid w:val="33B7E0AF"/>
    <w:rsid w:val="35063B2B"/>
    <w:rsid w:val="36194E57"/>
    <w:rsid w:val="37F75104"/>
    <w:rsid w:val="388C8954"/>
    <w:rsid w:val="3C34D048"/>
    <w:rsid w:val="4044DDB2"/>
    <w:rsid w:val="410924FB"/>
    <w:rsid w:val="4583A256"/>
    <w:rsid w:val="45DC2857"/>
    <w:rsid w:val="4A8A2662"/>
    <w:rsid w:val="4E6CBFCC"/>
    <w:rsid w:val="4E739CE8"/>
    <w:rsid w:val="4F28E948"/>
    <w:rsid w:val="4F99D81D"/>
    <w:rsid w:val="50605F5D"/>
    <w:rsid w:val="507263C9"/>
    <w:rsid w:val="52D04BB4"/>
    <w:rsid w:val="54551AD1"/>
    <w:rsid w:val="54B97402"/>
    <w:rsid w:val="5617EA76"/>
    <w:rsid w:val="56C24514"/>
    <w:rsid w:val="56F96BC4"/>
    <w:rsid w:val="57E9B904"/>
    <w:rsid w:val="587FCEFE"/>
    <w:rsid w:val="5CE3ABE2"/>
    <w:rsid w:val="5EEFF8FE"/>
    <w:rsid w:val="60BAD88F"/>
    <w:rsid w:val="6202A6A3"/>
    <w:rsid w:val="62437295"/>
    <w:rsid w:val="62BAE51E"/>
    <w:rsid w:val="6473E8C5"/>
    <w:rsid w:val="6573DDC4"/>
    <w:rsid w:val="669C672B"/>
    <w:rsid w:val="6BA5FD3C"/>
    <w:rsid w:val="6C330B6D"/>
    <w:rsid w:val="6CBF075F"/>
    <w:rsid w:val="6D4B09C9"/>
    <w:rsid w:val="6D5C4580"/>
    <w:rsid w:val="6DADF189"/>
    <w:rsid w:val="6E47FAF7"/>
    <w:rsid w:val="6E8D78A7"/>
    <w:rsid w:val="7013AC41"/>
    <w:rsid w:val="709D53A8"/>
    <w:rsid w:val="71B3E31E"/>
    <w:rsid w:val="71C6F93D"/>
    <w:rsid w:val="71EF779E"/>
    <w:rsid w:val="73164C7F"/>
    <w:rsid w:val="7381B389"/>
    <w:rsid w:val="775413BD"/>
    <w:rsid w:val="77A73AAE"/>
    <w:rsid w:val="79569D84"/>
    <w:rsid w:val="7A0687E9"/>
    <w:rsid w:val="7B1B67DE"/>
    <w:rsid w:val="7C3EF0B7"/>
    <w:rsid w:val="7CCA4A94"/>
    <w:rsid w:val="7D54DEB5"/>
    <w:rsid w:val="7EDF7763"/>
    <w:rsid w:val="7EEF9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1C299F"/>
  <w15:chartTrackingRefBased/>
  <w15:docId w15:val="{B546B4DF-5846-4034-8D12-991AFBC1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0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67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86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67E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AD6028"/>
  </w:style>
  <w:style w:type="paragraph" w:customStyle="1" w:styleId="elementtoproof">
    <w:name w:val="elementtoproof"/>
    <w:basedOn w:val="Normal"/>
    <w:rsid w:val="00AD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027DF4"/>
    <w:rPr>
      <w:color w:val="467886"/>
      <w:u w:val="single"/>
    </w:rPr>
  </w:style>
  <w:style w:type="table" w:styleId="TableGrid">
    <w:name w:val="Table Grid"/>
    <w:basedOn w:val="TableNormal"/>
    <w:uiPriority w:val="39"/>
    <w:rsid w:val="0002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54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.psu.edu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i.psu.edu/resourc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i.psu.edu/resourc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lrn.psu.ed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i.psu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f29ae5-24a9-49dc-a236-e11657dc9c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81CD7E707F24CAEA43A9E9CA5E585" ma:contentTypeVersion="9" ma:contentTypeDescription="Create a new document." ma:contentTypeScope="" ma:versionID="657fe2146182417d3ef486e4fb3ae420">
  <xsd:schema xmlns:xsd="http://www.w3.org/2001/XMLSchema" xmlns:xs="http://www.w3.org/2001/XMLSchema" xmlns:p="http://schemas.microsoft.com/office/2006/metadata/properties" xmlns:ns2="10f29ae5-24a9-49dc-a236-e11657dc9cdf" targetNamespace="http://schemas.microsoft.com/office/2006/metadata/properties" ma:root="true" ma:fieldsID="ccab35afc7628698cdb9365eb994e246" ns2:_="">
    <xsd:import namespace="10f29ae5-24a9-49dc-a236-e11657dc9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9ae5-24a9-49dc-a236-e11657dc9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7DD40-8926-49D2-B114-739BC1895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6A4F3-B2AA-4E4A-8C7C-CF1CD4B1F418}">
  <ds:schemaRefs>
    <ds:schemaRef ds:uri="http://schemas.microsoft.com/office/2006/metadata/properties"/>
    <ds:schemaRef ds:uri="http://schemas.microsoft.com/office/infopath/2007/PartnerControls"/>
    <ds:schemaRef ds:uri="10f29ae5-24a9-49dc-a236-e11657dc9cdf"/>
  </ds:schemaRefs>
</ds:datastoreItem>
</file>

<file path=customXml/itemProps3.xml><?xml version="1.0" encoding="utf-8"?>
<ds:datastoreItem xmlns:ds="http://schemas.openxmlformats.org/officeDocument/2006/customXml" ds:itemID="{6B5C4DE8-18D2-4CB2-A1BD-AA2627AB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29ae5-24a9-49dc-a236-e11657dc9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The Pennsylvania State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Pfeifer Reitz, Dawn</dc:creator>
  <cp:keywords/>
  <dc:description/>
  <cp:lastModifiedBy>Fleming, Erica</cp:lastModifiedBy>
  <cp:revision>65</cp:revision>
  <dcterms:created xsi:type="dcterms:W3CDTF">2026-04-17T17:50:00Z</dcterms:created>
  <dcterms:modified xsi:type="dcterms:W3CDTF">2026-05-12T13:05:00Z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0x010100A6181CD7E707F24CAEA43A9E9CA5E585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